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8c1c170aa5482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35450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ČEMINAC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1.087.457,92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1.259.627,86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807.639,35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1.307.383,06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47.755,20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9.677,08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53.329,65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285.709,59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210.398,03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276.032,51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157.068,38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64.776,38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63.043,34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64.776,38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63.043,34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60.990,32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267.866,92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439,2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siječanj - lipanj 2025. godine ostvaren je manjak prihoda i primitaka, a koji manjak nije planiran i pokriti će se  u narednom periodu tekuće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282.959,45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337.701,19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poreza bilježe rast od 19,3  % u odnosu na 2024. godinu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366.455,39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505.846,37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Pomoći iz inozemstva i od subjekata unutar općeg proračuna bilježe rast od 38 % u odnosu na isto izvještajno razdoblje 2024.g. 
Ostvareni su prihodi za fiskalno izravnanje, za fiskalnu održivost dječjeg vrtića, provedbu programa Zaželi, te programa sufinanciranja zapošljavanja u javnim radovima za dva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32.453,75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26.524,74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imovine bilježe pad od 18,3 % u odnosu na prethodno izvještajno razdoblje. Većinom se odnosi na pad prihoda od zakupa i iznajmljivanja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393.090,43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384.548,88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upravnih i administrativnih pristojbi, pristojbi po posebnim propisima i naknadama uprihodovani su za 2 % manje u odnosu na isto izvještajno razdoblje prošle godine.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268.950,88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501.008,44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zaposlene bilježe rast od 86,3 % iz razloga dodatnog zapošljavanja sezonskih komunalnih radnika, te zbog isplaćene otpremnine.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209.508,91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267.021,72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Materijalni rashodi bilježe rast od 27,5 %, u najvećem dijelu rast se odnosi na materijal i usluge za održavanje.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18.028,59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16.743,16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Financijski rashodi manji su u izvještajnom razdoblju za 7 % u odnosu na isto razdoblje 2024. godine.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79.316,50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169.048,28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Pomoći dane u inozemstvo i unutar općeg proračuna bilježe rast od 117 %, a odnose se na redovne prijenose korisniku Dječji vrtić Ivančica, a povećani su zbog isplate plaće po sudskoj presudi.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162.056,50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190.865,91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Naknade građanima i kućanstvima bilježe pad u odnosu na prošlogodišnje razdoblje, a odnose se na planirane isplaćene naknade građanima i kućanstvima.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69.777,97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153.645,55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donacije bilježe rast od 120 % u odnosu na isto razdoblje prethodne godine, a odnose se na planirane tekuće donacije udrugama građana i zajednicama koje djeluju na području Općine Čeminac.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285.709,59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210.398,03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nabavu nefinancijske imovine bilježe pad od 26,4 % u odnosu na isto razdoblje prethodne godine, a odnose se na planirana ulaganja u imovinu, izgradnju, opremanje, a provedba istih ide po planiranom tijeku.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64.776,38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63.043,34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Izdaci se odnose na redovitu otplatu dugoročnog kredita HBOR-a.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182.789,87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Dospjela obveza odnosi se na više naplaćenu komunalnu naknadu, koju je Općina po presudi dužna vratiti obvezniku i plan je do kraja godine izvršiti povrat.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179.214,25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Nedospjele obveze odnose se na plaću za zaposlene za 06/2025 i redovne režijske i materijalne obveze.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financijsku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 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1.134.780,00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dugoročni kredit HBOR-a.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b88a1494cb4c36" /></Relationships>
</file>